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5C" w:rsidRPr="00453E5C" w:rsidRDefault="00453E5C" w:rsidP="00453E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53E5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453E5C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453E5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453E5C" w:rsidRPr="00453E5C" w:rsidTr="00453E5C">
        <w:trPr>
          <w:trHeight w:val="50"/>
          <w:tblCellSpacing w:w="0" w:type="dxa"/>
        </w:trPr>
        <w:tc>
          <w:tcPr>
            <w:tcW w:w="401" w:type="dxa"/>
            <w:shd w:val="clear" w:color="auto" w:fill="B7DFEA"/>
            <w:vAlign w:val="center"/>
            <w:hideMark/>
          </w:tcPr>
          <w:p w:rsidR="00453E5C" w:rsidRPr="00453E5C" w:rsidRDefault="00453E5C" w:rsidP="00453E5C">
            <w:pPr>
              <w:spacing w:after="0" w:line="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2260" cy="40005"/>
                  <wp:effectExtent l="19050" t="0" r="254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4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453E5C" w:rsidRPr="00453E5C" w:rsidRDefault="00453E5C" w:rsidP="00453E5C">
            <w:pPr>
              <w:spacing w:after="0" w:line="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0005" cy="40005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" cy="4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3E5C" w:rsidRPr="00453E5C" w:rsidRDefault="00453E5C" w:rsidP="00453E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53E5C" w:rsidRPr="00453E5C" w:rsidTr="00453E5C">
        <w:trPr>
          <w:tblCellSpacing w:w="0" w:type="dxa"/>
        </w:trPr>
        <w:tc>
          <w:tcPr>
            <w:tcW w:w="0" w:type="auto"/>
            <w:vAlign w:val="center"/>
            <w:hideMark/>
          </w:tcPr>
          <w:p w:rsidR="00453E5C" w:rsidRPr="00453E5C" w:rsidRDefault="00453E5C" w:rsidP="00453E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поручению Генерального прокурора Российской Федерации, прокуратуры Республики Крым в 2025 году организовано проведение Международного молодежного конкурса социальной </w:t>
            </w:r>
            <w:proofErr w:type="spellStart"/>
            <w:r w:rsidRPr="00453E5C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53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рекламы «Вместе против коррупции!» (далее – конкурс), в котором участвует молодежь из всех государств мира.</w:t>
            </w:r>
          </w:p>
          <w:p w:rsidR="00453E5C" w:rsidRPr="00453E5C" w:rsidRDefault="00453E5C" w:rsidP="00453E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конкурсных работ осуществляется с 1 мая по 1 октября 2025 года на сайте конкурса </w:t>
            </w:r>
            <w:hyperlink r:id="rId6" w:history="1">
              <w:r w:rsidRPr="00453E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www.anticorruption.life</w:t>
              </w:r>
            </w:hyperlink>
            <w:r w:rsidRPr="00453E5C">
              <w:rPr>
                <w:rFonts w:ascii="Times New Roman" w:eastAsia="Times New Roman" w:hAnsi="Times New Roman" w:cs="Times New Roman"/>
                <w:sz w:val="24"/>
                <w:szCs w:val="24"/>
              </w:rPr>
              <w:t>, где также размещены правила его проведения, регламентирующие условия участия, критерии оценки работ.</w:t>
            </w:r>
          </w:p>
          <w:p w:rsidR="00453E5C" w:rsidRPr="00453E5C" w:rsidRDefault="00453E5C" w:rsidP="00453E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5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проводится по трем номинациям: («Лучший плакат», «Лучший рисунок», «Лучший видеоролик») в трех возрастных группах (от 10 до 15 лет, от 16 до 20 лет, от 21 до 25 лет).</w:t>
            </w:r>
          </w:p>
          <w:p w:rsidR="00453E5C" w:rsidRPr="00453E5C" w:rsidRDefault="00453E5C" w:rsidP="00453E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5C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конкурса, объявление победителей и призеров приурочено к Международному дню борьбы с коррупцией (9 декабря).</w:t>
            </w:r>
          </w:p>
          <w:p w:rsidR="00453E5C" w:rsidRPr="00453E5C" w:rsidRDefault="00453E5C" w:rsidP="00453E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5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конкурсантами работы оцениваются на соответствие критериям правил проведения конкурса (достоверность персональных данных, соблюдение ограничений по информационному содержанию, отсутствие плагиата и использования искусственного интеллекта при их создании)</w:t>
            </w:r>
          </w:p>
        </w:tc>
      </w:tr>
    </w:tbl>
    <w:p w:rsidR="00084C15" w:rsidRDefault="00084C15"/>
    <w:sectPr w:rsidR="0008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53E5C"/>
    <w:rsid w:val="00084C15"/>
    <w:rsid w:val="0045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3E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3E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5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53E5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ticorruption.life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2025-04-28T11:08:00Z</dcterms:created>
  <dcterms:modified xsi:type="dcterms:W3CDTF">2025-04-28T11:08:00Z</dcterms:modified>
</cp:coreProperties>
</file>